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0C9F" w14:textId="49125D1E" w:rsidR="00131E37" w:rsidRDefault="003C0C39">
      <w:pPr>
        <w:rPr>
          <w:rFonts w:ascii="Roboto" w:hAnsi="Roboto"/>
          <w:color w:val="464753"/>
          <w:sz w:val="27"/>
          <w:szCs w:val="27"/>
          <w:shd w:val="clear" w:color="auto" w:fill="FFFFFF"/>
        </w:rPr>
      </w:pPr>
      <w:r>
        <w:rPr>
          <w:rFonts w:ascii="Roboto" w:hAnsi="Roboto"/>
          <w:color w:val="464753"/>
          <w:sz w:val="27"/>
          <w:szCs w:val="27"/>
          <w:shd w:val="clear" w:color="auto" w:fill="FFFFFF"/>
        </w:rPr>
        <w:t>T</w:t>
      </w:r>
      <w:r>
        <w:rPr>
          <w:rFonts w:ascii="Roboto" w:hAnsi="Roboto"/>
          <w:color w:val="464753"/>
          <w:sz w:val="27"/>
          <w:szCs w:val="27"/>
          <w:shd w:val="clear" w:color="auto" w:fill="FFFFFF"/>
        </w:rPr>
        <w:t>h</w:t>
      </w:r>
      <w:r>
        <w:rPr>
          <w:rFonts w:ascii="Roboto" w:hAnsi="Roboto"/>
          <w:color w:val="464753"/>
          <w:sz w:val="27"/>
          <w:szCs w:val="27"/>
          <w:shd w:val="clear" w:color="auto" w:fill="FFFFFF"/>
        </w:rPr>
        <w:t>i</w:t>
      </w:r>
      <w:r>
        <w:rPr>
          <w:rFonts w:ascii="Roboto" w:hAnsi="Roboto"/>
          <w:color w:val="464753"/>
          <w:sz w:val="27"/>
          <w:szCs w:val="27"/>
          <w:shd w:val="clear" w:color="auto" w:fill="FFFFFF"/>
        </w:rPr>
        <w:t>s table show</w:t>
      </w:r>
      <w:r>
        <w:rPr>
          <w:rFonts w:ascii="Roboto" w:hAnsi="Roboto"/>
          <w:color w:val="464753"/>
          <w:sz w:val="27"/>
          <w:szCs w:val="27"/>
          <w:shd w:val="clear" w:color="auto" w:fill="FFFFFF"/>
        </w:rPr>
        <w:t>s</w:t>
      </w:r>
      <w:r>
        <w:rPr>
          <w:rFonts w:ascii="Roboto" w:hAnsi="Roboto"/>
          <w:color w:val="464753"/>
          <w:sz w:val="27"/>
          <w:szCs w:val="27"/>
          <w:shd w:val="clear" w:color="auto" w:fill="FFFFFF"/>
        </w:rPr>
        <w:t xml:space="preserve"> the most common safety and health rules cited during L&amp;I inspections from Oct. 2020 - Sept. 2021 (Federal Fiscal </w:t>
      </w:r>
      <w:r w:rsidRPr="003C0C39">
        <w:rPr>
          <w:rFonts w:ascii="Roboto" w:hAnsi="Roboto"/>
          <w:b/>
          <w:bCs/>
          <w:color w:val="464753"/>
          <w:sz w:val="27"/>
          <w:szCs w:val="27"/>
          <w:shd w:val="clear" w:color="auto" w:fill="FFFFFF"/>
        </w:rPr>
        <w:t>Year 2020</w:t>
      </w:r>
      <w:r>
        <w:rPr>
          <w:rFonts w:ascii="Roboto" w:hAnsi="Roboto"/>
          <w:color w:val="464753"/>
          <w:sz w:val="27"/>
          <w:szCs w:val="27"/>
          <w:shd w:val="clear" w:color="auto" w:fill="FFFFFF"/>
        </w:rPr>
        <w:t>).</w:t>
      </w:r>
    </w:p>
    <w:p w14:paraId="7341E8CA" w14:textId="77777777" w:rsidR="003C0C39" w:rsidRPr="003C0C39" w:rsidRDefault="003C0C39" w:rsidP="003C0C39">
      <w:pPr>
        <w:shd w:val="clear" w:color="auto" w:fill="FFFFFF"/>
        <w:spacing w:before="320" w:after="0" w:line="240" w:lineRule="auto"/>
        <w:outlineLvl w:val="2"/>
        <w:rPr>
          <w:rFonts w:ascii="Roboto" w:eastAsia="Times New Roman" w:hAnsi="Roboto" w:cs="Times New Roman"/>
          <w:b/>
          <w:bCs/>
          <w:color w:val="464753"/>
          <w:sz w:val="27"/>
          <w:szCs w:val="27"/>
        </w:rPr>
      </w:pPr>
      <w:r w:rsidRPr="003C0C39">
        <w:rPr>
          <w:rFonts w:ascii="Roboto" w:eastAsia="Times New Roman" w:hAnsi="Roboto" w:cs="Times New Roman"/>
          <w:b/>
          <w:bCs/>
          <w:color w:val="464753"/>
          <w:sz w:val="27"/>
          <w:szCs w:val="27"/>
        </w:rPr>
        <w:t>All industries excluding both construction and agriculture</w:t>
      </w:r>
    </w:p>
    <w:tbl>
      <w:tblPr>
        <w:tblW w:w="87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2977"/>
      </w:tblGrid>
      <w:tr w:rsidR="003C0C39" w:rsidRPr="003C0C39" w14:paraId="09DF49FA" w14:textId="77777777" w:rsidTr="003C0C39">
        <w:trPr>
          <w:tblHeader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428C71DD" w14:textId="77777777" w:rsidR="003C0C39" w:rsidRPr="003C0C39" w:rsidRDefault="003C0C39" w:rsidP="003C0C39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b/>
                <w:bCs/>
                <w:sz w:val="20"/>
                <w:szCs w:val="20"/>
              </w:rPr>
            </w:pPr>
            <w:r w:rsidRPr="003C0C39">
              <w:rPr>
                <w:rFonts w:ascii="Libre Franklin" w:eastAsia="Times New Roman" w:hAnsi="Libre Franklin" w:cs="Times New Roman"/>
                <w:b/>
                <w:bCs/>
                <w:sz w:val="20"/>
                <w:szCs w:val="20"/>
              </w:rPr>
              <w:t>WAC Topic Area</w:t>
            </w:r>
          </w:p>
        </w:tc>
        <w:tc>
          <w:tcPr>
            <w:tcW w:w="29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20F8F517" w14:textId="77777777" w:rsidR="003C0C39" w:rsidRPr="003C0C39" w:rsidRDefault="003C0C39" w:rsidP="003C0C39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b/>
                <w:bCs/>
                <w:sz w:val="20"/>
                <w:szCs w:val="20"/>
              </w:rPr>
            </w:pPr>
            <w:r w:rsidRPr="003C0C39">
              <w:rPr>
                <w:rFonts w:ascii="Libre Franklin" w:eastAsia="Times New Roman" w:hAnsi="Libre Franklin" w:cs="Times New Roman"/>
                <w:b/>
                <w:bCs/>
                <w:sz w:val="20"/>
                <w:szCs w:val="20"/>
              </w:rPr>
              <w:t>Resources</w:t>
            </w:r>
          </w:p>
        </w:tc>
      </w:tr>
      <w:tr w:rsidR="003C0C39" w:rsidRPr="003C0C39" w14:paraId="663D54DB" w14:textId="77777777" w:rsidTr="003C0C3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F0F1"/>
            <w:vAlign w:val="center"/>
            <w:hideMark/>
          </w:tcPr>
          <w:p w14:paraId="5625AE65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  <w:highlight w:val="yellow"/>
              </w:rPr>
              <w:t>Accident Prevention Program</w:t>
            </w: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  <w:highlight w:val="yellow"/>
              </w:rPr>
              <w:br/>
            </w:r>
            <w:hyperlink r:id="rId7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highlight w:val="yellow"/>
                  <w:u w:val="single"/>
                </w:rPr>
                <w:t>WAC 296-800-140</w:t>
              </w:r>
            </w:hyperlink>
          </w:p>
        </w:tc>
        <w:tc>
          <w:tcPr>
            <w:tcW w:w="29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F0F1"/>
            <w:vAlign w:val="center"/>
            <w:hideMark/>
          </w:tcPr>
          <w:p w14:paraId="7EA049D4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hyperlink r:id="rId8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Accident Prevention Program (APP</w:t>
              </w:r>
            </w:hyperlink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t>)</w:t>
            </w:r>
          </w:p>
        </w:tc>
      </w:tr>
      <w:tr w:rsidR="003C0C39" w:rsidRPr="003C0C39" w14:paraId="461E5561" w14:textId="77777777" w:rsidTr="003C0C3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59ED45BA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t>Employer Responsibilities: Safe Workplace</w:t>
            </w: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br/>
            </w:r>
            <w:hyperlink r:id="rId9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WAC 296-800-110</w:t>
              </w:r>
            </w:hyperlink>
          </w:p>
        </w:tc>
        <w:tc>
          <w:tcPr>
            <w:tcW w:w="29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7E98C72F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hyperlink r:id="rId10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 xml:space="preserve">Get Started </w:t>
              </w:r>
              <w:proofErr w:type="gramStart"/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With</w:t>
              </w:r>
              <w:proofErr w:type="gramEnd"/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 xml:space="preserve"> Safety &amp; Health</w:t>
              </w:r>
            </w:hyperlink>
          </w:p>
        </w:tc>
      </w:tr>
      <w:tr w:rsidR="003C0C39" w:rsidRPr="003C0C39" w14:paraId="1F640A72" w14:textId="77777777" w:rsidTr="003C0C3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F0F1"/>
            <w:vAlign w:val="center"/>
            <w:hideMark/>
          </w:tcPr>
          <w:p w14:paraId="14BE3518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t>Globally Harmonized System for Hazard Communication</w:t>
            </w: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br/>
            </w:r>
            <w:hyperlink r:id="rId11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WAC 296-901-140</w:t>
              </w:r>
            </w:hyperlink>
          </w:p>
        </w:tc>
        <w:tc>
          <w:tcPr>
            <w:tcW w:w="29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F0F1"/>
            <w:vAlign w:val="center"/>
            <w:hideMark/>
          </w:tcPr>
          <w:p w14:paraId="60079ECD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hyperlink r:id="rId12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Chemical Hazard Communication and GHS</w:t>
              </w:r>
            </w:hyperlink>
          </w:p>
        </w:tc>
      </w:tr>
      <w:tr w:rsidR="003C0C39" w:rsidRPr="003C0C39" w14:paraId="1533663C" w14:textId="77777777" w:rsidTr="003C0C3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5BF18770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t>Safety Committees and Safety Meetings</w:t>
            </w: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br/>
            </w:r>
            <w:hyperlink r:id="rId13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WAC 296-800-130</w:t>
              </w:r>
            </w:hyperlink>
          </w:p>
        </w:tc>
        <w:tc>
          <w:tcPr>
            <w:tcW w:w="29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5BE5AD3A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hyperlink r:id="rId14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Safety Meetings and Committees</w:t>
              </w:r>
            </w:hyperlink>
          </w:p>
        </w:tc>
      </w:tr>
      <w:tr w:rsidR="003C0C39" w:rsidRPr="003C0C39" w14:paraId="1184ED71" w14:textId="77777777" w:rsidTr="003C0C3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F0F1"/>
            <w:vAlign w:val="center"/>
            <w:hideMark/>
          </w:tcPr>
          <w:p w14:paraId="6FE5CF4E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t>Personal Protective Equipment (PPE)</w:t>
            </w: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br/>
            </w:r>
            <w:hyperlink r:id="rId15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WAC 296-800-160</w:t>
              </w:r>
            </w:hyperlink>
          </w:p>
        </w:tc>
        <w:tc>
          <w:tcPr>
            <w:tcW w:w="29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F0F1"/>
            <w:vAlign w:val="center"/>
            <w:hideMark/>
          </w:tcPr>
          <w:p w14:paraId="5E4ED66D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hyperlink r:id="rId16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Personal Protective Equipment</w:t>
              </w:r>
            </w:hyperlink>
          </w:p>
        </w:tc>
      </w:tr>
      <w:tr w:rsidR="003C0C39" w:rsidRPr="003C0C39" w14:paraId="7A955EC9" w14:textId="77777777" w:rsidTr="003C0C3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3395B35C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t>First-Aid</w:t>
            </w: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br/>
            </w:r>
            <w:hyperlink r:id="rId17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WAC 296-800-150</w:t>
              </w:r>
            </w:hyperlink>
          </w:p>
        </w:tc>
        <w:tc>
          <w:tcPr>
            <w:tcW w:w="29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110EA9D1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hyperlink r:id="rId18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First Aid</w:t>
              </w:r>
            </w:hyperlink>
          </w:p>
        </w:tc>
      </w:tr>
      <w:tr w:rsidR="003C0C39" w:rsidRPr="003C0C39" w14:paraId="7DEC180D" w14:textId="77777777" w:rsidTr="003C0C3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F0F1"/>
            <w:vAlign w:val="center"/>
            <w:hideMark/>
          </w:tcPr>
          <w:p w14:paraId="4F623722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t>Asbestos, Tremolite, Anthophyllite, and Actinolite</w:t>
            </w: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br/>
            </w:r>
            <w:hyperlink r:id="rId19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WAC 296-62-077</w:t>
              </w:r>
            </w:hyperlink>
          </w:p>
        </w:tc>
        <w:tc>
          <w:tcPr>
            <w:tcW w:w="29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F0F1"/>
            <w:vAlign w:val="center"/>
            <w:hideMark/>
          </w:tcPr>
          <w:p w14:paraId="05EA05C5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hyperlink r:id="rId20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Asbestos</w:t>
              </w:r>
            </w:hyperlink>
          </w:p>
        </w:tc>
      </w:tr>
      <w:tr w:rsidR="003C0C39" w:rsidRPr="003C0C39" w14:paraId="67747B9A" w14:textId="77777777" w:rsidTr="003C0C3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6563A17B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t>Respirators: Medical Evaluations</w:t>
            </w: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br/>
            </w:r>
            <w:hyperlink r:id="rId21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WAC 296-842-14005</w:t>
              </w:r>
            </w:hyperlink>
          </w:p>
        </w:tc>
        <w:tc>
          <w:tcPr>
            <w:tcW w:w="29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3A36E824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hyperlink r:id="rId22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Respirators</w:t>
              </w:r>
            </w:hyperlink>
          </w:p>
        </w:tc>
      </w:tr>
      <w:tr w:rsidR="003C0C39" w:rsidRPr="003C0C39" w14:paraId="2A8927B9" w14:textId="77777777" w:rsidTr="003C0C3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F0F1"/>
            <w:vAlign w:val="center"/>
            <w:hideMark/>
          </w:tcPr>
          <w:p w14:paraId="7AB6AA91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t>Respirators: Conduct fit testing</w:t>
            </w: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br/>
            </w:r>
            <w:hyperlink r:id="rId23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WAC 296-842-15005</w:t>
              </w:r>
            </w:hyperlink>
          </w:p>
        </w:tc>
        <w:tc>
          <w:tcPr>
            <w:tcW w:w="29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FF0F1"/>
            <w:vAlign w:val="center"/>
            <w:hideMark/>
          </w:tcPr>
          <w:p w14:paraId="4CBA84E5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hyperlink r:id="rId24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Respirators</w:t>
              </w:r>
            </w:hyperlink>
          </w:p>
        </w:tc>
      </w:tr>
      <w:tr w:rsidR="003C0C39" w:rsidRPr="003C0C39" w14:paraId="3D456E5A" w14:textId="77777777" w:rsidTr="003C0C3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6AC5B893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t>Select &amp; provide appropriate respirators</w:t>
            </w:r>
            <w:r w:rsidRPr="003C0C39">
              <w:rPr>
                <w:rFonts w:ascii="Libre Franklin" w:eastAsia="Times New Roman" w:hAnsi="Libre Franklin" w:cs="Times New Roman"/>
                <w:sz w:val="32"/>
                <w:szCs w:val="32"/>
              </w:rPr>
              <w:br/>
            </w:r>
            <w:hyperlink r:id="rId25" w:anchor="WAC_296_842_13005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WAC 296-842-13005</w:t>
              </w:r>
            </w:hyperlink>
          </w:p>
        </w:tc>
        <w:tc>
          <w:tcPr>
            <w:tcW w:w="297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14:paraId="3E46CD79" w14:textId="77777777" w:rsidR="003C0C39" w:rsidRPr="003C0C39" w:rsidRDefault="003C0C39" w:rsidP="003C0C39">
            <w:pPr>
              <w:spacing w:after="0" w:line="240" w:lineRule="auto"/>
              <w:rPr>
                <w:rFonts w:ascii="Libre Franklin" w:eastAsia="Times New Roman" w:hAnsi="Libre Franklin" w:cs="Times New Roman"/>
                <w:sz w:val="32"/>
                <w:szCs w:val="32"/>
              </w:rPr>
            </w:pPr>
            <w:hyperlink r:id="rId26" w:history="1">
              <w:r w:rsidRPr="003C0C39">
                <w:rPr>
                  <w:rFonts w:ascii="Libre Franklin" w:eastAsia="Times New Roman" w:hAnsi="Libre Franklin" w:cs="Times New Roman"/>
                  <w:color w:val="0074CC"/>
                  <w:sz w:val="32"/>
                  <w:szCs w:val="32"/>
                  <w:u w:val="single"/>
                </w:rPr>
                <w:t>Respirators</w:t>
              </w:r>
            </w:hyperlink>
          </w:p>
        </w:tc>
      </w:tr>
    </w:tbl>
    <w:p w14:paraId="3B3902B7" w14:textId="77777777" w:rsidR="003C0C39" w:rsidRDefault="003C0C39"/>
    <w:sectPr w:rsidR="003C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39"/>
    <w:rsid w:val="00131E37"/>
    <w:rsid w:val="0020543B"/>
    <w:rsid w:val="003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33DF"/>
  <w15:chartTrackingRefBased/>
  <w15:docId w15:val="{B314CE46-83D4-4ED0-974F-0623D7E8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0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C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C0C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0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i.wa.gov/safety-health/preventing-injuries-illnesses/create-a-safety-program/accident-prevention-program" TargetMode="External"/><Relationship Id="rId13" Type="http://schemas.openxmlformats.org/officeDocument/2006/relationships/hyperlink" Target="https://app.leg.wa.gov/wac/default.aspx?cite=296-800-130" TargetMode="External"/><Relationship Id="rId18" Type="http://schemas.openxmlformats.org/officeDocument/2006/relationships/hyperlink" Target="https://lni.wa.gov/safety-health/safety-topics/search-by-topic?query=firstAid" TargetMode="External"/><Relationship Id="rId26" Type="http://schemas.openxmlformats.org/officeDocument/2006/relationships/hyperlink" Target="https://lni.wa.gov/safety-health/safety-topics/search-by-topic?query=respirato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leg.wa.gov/wac/default.aspx?cite=296-842-14005" TargetMode="External"/><Relationship Id="rId7" Type="http://schemas.openxmlformats.org/officeDocument/2006/relationships/hyperlink" Target="https://app.leg.wa.gov/wac/default.aspx?cite=296-800-140" TargetMode="External"/><Relationship Id="rId12" Type="http://schemas.openxmlformats.org/officeDocument/2006/relationships/hyperlink" Target="https://lni.wa.gov/safety-health/safety-topics/search-by-topic?query=chemicalhazardcommunication" TargetMode="External"/><Relationship Id="rId17" Type="http://schemas.openxmlformats.org/officeDocument/2006/relationships/hyperlink" Target="https://app.leg.wa.gov/wac/default.aspx?cite=296-800-150" TargetMode="External"/><Relationship Id="rId25" Type="http://schemas.openxmlformats.org/officeDocument/2006/relationships/hyperlink" Target="https://lni.wa.gov/safety-health/safety-rules/chapter-pdfs/WAC296-84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ni.wa.gov/safety-health/preventing-injuries-illnesses/get-started-with-safety-health/personal-protective-equipment-ppe" TargetMode="External"/><Relationship Id="rId20" Type="http://schemas.openxmlformats.org/officeDocument/2006/relationships/hyperlink" Target="https://lni.wa.gov/safety-health/safety-topics/search-by-topic?query=asbest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leg.wa.gov/wac/default.aspx?cite=296-901-140" TargetMode="External"/><Relationship Id="rId24" Type="http://schemas.openxmlformats.org/officeDocument/2006/relationships/hyperlink" Target="https://lni.wa.gov/safety-health/safety-topics/search-by-topic?query=respir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pp.leg.wa.gov/wac/default.aspx?cite=296-800-160" TargetMode="External"/><Relationship Id="rId23" Type="http://schemas.openxmlformats.org/officeDocument/2006/relationships/hyperlink" Target="https://app.leg.wa.gov/wac/default.aspx?cite=296-842-1500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ni.wa.gov/safety-health/preventing-injuries-illnesses/get-started-with-safety-health/" TargetMode="External"/><Relationship Id="rId19" Type="http://schemas.openxmlformats.org/officeDocument/2006/relationships/hyperlink" Target="https://app.leg.wa.gov/wac/default.aspx?cite=296-62-077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.leg.wa.gov/wac/default.aspx?cite=296-800-110" TargetMode="External"/><Relationship Id="rId14" Type="http://schemas.openxmlformats.org/officeDocument/2006/relationships/hyperlink" Target="https://lni.wa.gov/safety-health/preventing-injuries-illnesses/create-a-safety-program/safety-meetings-and-committees" TargetMode="External"/><Relationship Id="rId22" Type="http://schemas.openxmlformats.org/officeDocument/2006/relationships/hyperlink" Target="https://lni.wa.gov/safety-health/safety-topics/search-by-topic?query=respirator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12" ma:contentTypeDescription="Create a new document." ma:contentTypeScope="" ma:versionID="b0257ca5f22ee11e8a609d9764fcd2be">
  <xsd:schema xmlns:xsd="http://www.w3.org/2001/XMLSchema" xmlns:xs="http://www.w3.org/2001/XMLSchema" xmlns:p="http://schemas.microsoft.com/office/2006/metadata/properties" xmlns:ns2="26d29b98-aeef-4327-9348-13917ee0e6aa" xmlns:ns3="360febeb-7366-4b84-9b0e-9844ea0530c6" targetNamespace="http://schemas.microsoft.com/office/2006/metadata/properties" ma:root="true" ma:fieldsID="eb39a150332f567740879addfa667aeb" ns2:_="" ns3:_="">
    <xsd:import namespace="26d29b98-aeef-4327-9348-13917ee0e6aa"/>
    <xsd:import namespace="360febeb-7366-4b84-9b0e-9844ea05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ebeb-7366-4b84-9b0e-9844ea053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99E0E-10A2-4571-ACE9-FA162A48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29b98-aeef-4327-9348-13917ee0e6aa"/>
    <ds:schemaRef ds:uri="360febeb-7366-4b84-9b0e-9844ea053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05888-EB39-49F0-B82C-706028FDC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1BB1E-F61D-4C2F-A32A-200A79032F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Means</dc:creator>
  <cp:keywords/>
  <dc:description/>
  <cp:lastModifiedBy>Rick Means</cp:lastModifiedBy>
  <cp:revision>2</cp:revision>
  <cp:lastPrinted>2021-11-29T17:38:00Z</cp:lastPrinted>
  <dcterms:created xsi:type="dcterms:W3CDTF">2021-11-29T17:32:00Z</dcterms:created>
  <dcterms:modified xsi:type="dcterms:W3CDTF">2021-11-29T17:45:00Z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</Properties>
</file>